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AFC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2AFC" w:rsidRPr="0066208A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ПРОГРАММА ИТОГОВОГО ЭКЗАМЕНА</w:t>
      </w:r>
    </w:p>
    <w:p w:rsidR="00272AFC" w:rsidRPr="0066208A" w:rsidRDefault="00272AFC" w:rsidP="00272AFC">
      <w:pPr>
        <w:ind w:right="98"/>
        <w:rPr>
          <w:rFonts w:ascii="Times New Roman" w:hAnsi="Times New Roman" w:cs="Times New Roman"/>
          <w:b/>
          <w:sz w:val="28"/>
          <w:lang w:val="kk-KZ"/>
        </w:rPr>
      </w:pPr>
    </w:p>
    <w:p w:rsidR="00F74E87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Предмет: </w:t>
      </w:r>
      <w:r w:rsidR="00261A85" w:rsidRPr="00261A85">
        <w:rPr>
          <w:rFonts w:ascii="Times New Roman" w:hAnsi="Times New Roman" w:cs="Times New Roman"/>
          <w:b/>
          <w:sz w:val="28"/>
          <w:lang w:val="kk-KZ"/>
        </w:rPr>
        <w:t xml:space="preserve">93020 </w:t>
      </w:r>
      <w:r w:rsidR="00F74E87" w:rsidRPr="00F74E8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61A85" w:rsidRPr="00261A85">
        <w:rPr>
          <w:rFonts w:ascii="Times New Roman" w:hAnsi="Times New Roman" w:cs="Times New Roman"/>
          <w:b/>
          <w:sz w:val="28"/>
          <w:lang w:val="kk-KZ"/>
        </w:rPr>
        <w:t>Законодательство о банковских услугах</w:t>
      </w:r>
    </w:p>
    <w:p w:rsidR="00272AFC" w:rsidRPr="0066208A" w:rsidRDefault="00272AFC" w:rsidP="00272AFC">
      <w:pPr>
        <w:ind w:left="73" w:right="98"/>
        <w:jc w:val="center"/>
        <w:rPr>
          <w:b/>
          <w:bCs/>
          <w:sz w:val="28"/>
          <w:szCs w:val="28"/>
          <w:lang w:val="kk-KZ"/>
        </w:rPr>
      </w:pPr>
      <w:r w:rsidRPr="00D917BC">
        <w:rPr>
          <w:rFonts w:ascii="Times New Roman" w:hAnsi="Times New Roman" w:cs="Times New Roman"/>
          <w:b/>
          <w:sz w:val="28"/>
          <w:lang w:val="kk-KZ"/>
        </w:rPr>
        <w:t xml:space="preserve">Образовательная программа </w:t>
      </w:r>
      <w:r w:rsidR="00F74E87" w:rsidRPr="00F74E87">
        <w:rPr>
          <w:rFonts w:ascii="Times New Roman" w:hAnsi="Times New Roman" w:cs="Times New Roman"/>
          <w:b/>
          <w:sz w:val="28"/>
          <w:lang w:val="kk-KZ"/>
        </w:rPr>
        <w:t>«7М04216- Финансовое право»</w:t>
      </w:r>
    </w:p>
    <w:p w:rsidR="00272AFC" w:rsidRPr="00F74E87" w:rsidRDefault="00272AFC" w:rsidP="00272AFC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Курс – </w:t>
      </w:r>
      <w:r w:rsidR="00F74E87">
        <w:rPr>
          <w:rFonts w:ascii="Times New Roman" w:hAnsi="Times New Roman"/>
          <w:sz w:val="28"/>
          <w:szCs w:val="28"/>
          <w:lang w:val="kk-KZ"/>
        </w:rPr>
        <w:t>1</w:t>
      </w:r>
    </w:p>
    <w:p w:rsidR="00272AFC" w:rsidRPr="00C81082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Семестр – </w:t>
      </w:r>
      <w:r w:rsidR="00F74E87">
        <w:rPr>
          <w:rFonts w:ascii="Times New Roman" w:hAnsi="Times New Roman"/>
          <w:sz w:val="28"/>
          <w:szCs w:val="28"/>
          <w:lang w:val="kk-KZ"/>
        </w:rPr>
        <w:t>1</w:t>
      </w:r>
    </w:p>
    <w:p w:rsidR="00272AFC" w:rsidRPr="0066208A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="00F74E87">
        <w:rPr>
          <w:rFonts w:ascii="Times New Roman" w:hAnsi="Times New Roman"/>
          <w:sz w:val="28"/>
          <w:szCs w:val="28"/>
          <w:lang w:val="kk-KZ"/>
        </w:rPr>
        <w:t>6</w:t>
      </w:r>
    </w:p>
    <w:p w:rsidR="00272AFC" w:rsidRPr="002741C3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72AFC" w:rsidRPr="002741C3" w:rsidRDefault="00272AFC" w:rsidP="00272AFC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272AFC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272AFC" w:rsidRDefault="00272AFC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19" w:rsidRDefault="00F74E87" w:rsidP="00F74E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="00272AFC">
        <w:rPr>
          <w:rFonts w:ascii="Times New Roman" w:hAnsi="Times New Roman" w:cs="Times New Roman"/>
          <w:b/>
          <w:sz w:val="28"/>
          <w:szCs w:val="28"/>
        </w:rPr>
        <w:t>лматы</w:t>
      </w:r>
      <w:proofErr w:type="spellEnd"/>
      <w:r w:rsidR="00272AF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72AF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D26E0" w:rsidRPr="005D26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2AFC" w:rsidRDefault="00272AFC" w:rsidP="00272A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41C3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итогового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экзамена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составлена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основе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 специальности </w:t>
      </w:r>
      <w:r w:rsidR="00F74E87" w:rsidRPr="00F74E87">
        <w:rPr>
          <w:rFonts w:ascii="Times New Roman" w:hAnsi="Times New Roman" w:cs="Times New Roman"/>
          <w:sz w:val="28"/>
          <w:szCs w:val="28"/>
          <w:lang w:val="kk-KZ"/>
        </w:rPr>
        <w:t>«7М04216- Финансовое право»</w:t>
      </w:r>
    </w:p>
    <w:p w:rsidR="00272AFC" w:rsidRPr="002741C3" w:rsidRDefault="00F74E87" w:rsidP="00272AFC">
      <w:pPr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д.ю.н., профессор  Г</w:t>
      </w:r>
      <w:r w:rsidR="00272AFC" w:rsidRPr="00D917B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А.Куаналиева</w:t>
      </w:r>
      <w:r w:rsidR="008E54A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72AFC" w:rsidRPr="002741C3">
        <w:rPr>
          <w:sz w:val="28"/>
          <w:szCs w:val="28"/>
        </w:rPr>
        <w:t xml:space="preserve"> ________________</w:t>
      </w:r>
    </w:p>
    <w:p w:rsidR="00272AFC" w:rsidRPr="002741C3" w:rsidRDefault="00272AFC" w:rsidP="00272AFC">
      <w:pPr>
        <w:pStyle w:val="a6"/>
        <w:spacing w:before="67"/>
        <w:jc w:val="both"/>
        <w:rPr>
          <w:sz w:val="28"/>
          <w:szCs w:val="28"/>
          <w:lang w:val="kk-KZ"/>
        </w:rPr>
      </w:pPr>
    </w:p>
    <w:p w:rsidR="00272AFC" w:rsidRPr="002741C3" w:rsidRDefault="00272AFC" w:rsidP="00272AFC">
      <w:pPr>
        <w:pStyle w:val="a6"/>
        <w:spacing w:before="67"/>
        <w:jc w:val="both"/>
        <w:rPr>
          <w:sz w:val="28"/>
          <w:szCs w:val="28"/>
        </w:rPr>
      </w:pPr>
    </w:p>
    <w:p w:rsidR="00272AFC" w:rsidRPr="0066208A" w:rsidRDefault="00272AFC" w:rsidP="00272AFC">
      <w:pPr>
        <w:pStyle w:val="Default"/>
        <w:jc w:val="both"/>
        <w:rPr>
          <w:color w:val="auto"/>
          <w:sz w:val="28"/>
          <w:szCs w:val="28"/>
        </w:rPr>
      </w:pPr>
      <w:r w:rsidRPr="0066208A">
        <w:rPr>
          <w:color w:val="auto"/>
          <w:sz w:val="28"/>
          <w:szCs w:val="28"/>
        </w:rPr>
        <w:t>Рассмотрено и утверждено на заседании кафедры таможенного, финансового и экологического права " 04 " июля 2023 г., протокол №20</w:t>
      </w:r>
    </w:p>
    <w:p w:rsidR="00272AFC" w:rsidRPr="0066208A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66208A">
        <w:rPr>
          <w:color w:val="auto"/>
          <w:sz w:val="28"/>
          <w:szCs w:val="28"/>
        </w:rPr>
        <w:t xml:space="preserve">Заведующая кафедрой </w:t>
      </w:r>
      <w:proofErr w:type="spellStart"/>
      <w:r w:rsidRPr="0066208A">
        <w:rPr>
          <w:color w:val="auto"/>
          <w:sz w:val="28"/>
          <w:szCs w:val="28"/>
        </w:rPr>
        <w:t>Куаналиева</w:t>
      </w:r>
      <w:proofErr w:type="spellEnd"/>
      <w:r w:rsidRPr="0066208A">
        <w:rPr>
          <w:color w:val="auto"/>
          <w:sz w:val="28"/>
          <w:szCs w:val="28"/>
        </w:rPr>
        <w:t xml:space="preserve"> Г. А.</w:t>
      </w:r>
      <w:r w:rsidRPr="002741C3">
        <w:rPr>
          <w:color w:val="auto"/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5D26E0" w:rsidRPr="00272AFC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lastRenderedPageBreak/>
        <w:t>Введение</w:t>
      </w: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Освоение образовательной программы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агистратуры по специальности </w:t>
      </w:r>
      <w:r w:rsidR="00261A85">
        <w:rPr>
          <w:rFonts w:ascii="Times New Roman" w:hAnsi="Times New Roman" w:cs="Times New Roman"/>
          <w:sz w:val="28"/>
          <w:szCs w:val="28"/>
          <w:lang w:val="kk-KZ"/>
        </w:rPr>
        <w:t>«7М04216-</w:t>
      </w:r>
      <w:r w:rsidR="00F74E87" w:rsidRPr="00F74E87">
        <w:rPr>
          <w:rFonts w:ascii="Times New Roman" w:hAnsi="Times New Roman" w:cs="Times New Roman"/>
          <w:sz w:val="28"/>
          <w:szCs w:val="28"/>
          <w:lang w:val="kk-KZ"/>
        </w:rPr>
        <w:t>Финансовое право»</w:t>
      </w:r>
      <w:r w:rsidR="00F74E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магистранты,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магистратуры. Экзамен проводится в сроки, указанные в Академическом календаре и рабочем учебном плане.</w:t>
      </w:r>
    </w:p>
    <w:p w:rsidR="004F35F8" w:rsidRPr="004F35F8" w:rsidRDefault="005D26E0" w:rsidP="004F3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Магистрантам,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 Магистрант, получивший по результатам экзам</w:t>
      </w:r>
      <w:r w:rsidR="004F35F8">
        <w:rPr>
          <w:rFonts w:ascii="Times New Roman" w:hAnsi="Times New Roman" w:cs="Times New Roman"/>
          <w:sz w:val="28"/>
          <w:szCs w:val="28"/>
          <w:lang w:val="kk-KZ"/>
        </w:rPr>
        <w:t>ена неудовлетворительную оценку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4F35F8">
        <w:rPr>
          <w:rFonts w:ascii="Times New Roman" w:hAnsi="Times New Roman" w:cs="Times New Roman"/>
          <w:sz w:val="28"/>
          <w:szCs w:val="28"/>
          <w:lang w:val="kk-KZ"/>
        </w:rPr>
        <w:t xml:space="preserve">25 баллов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Правила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Процесс сдачи устного экзамена магистрантом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Проводится устный экзамен: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закрепленной аудитории;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составе комиссии.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Контроль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 или экзаменационная комиссия: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объясняет требование экзамена,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проверяет, не повторяются ли вопросы билета.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График проведения экзамена должен быть заранее известен экзаменуемым ма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гистрантам и преподавателям, т.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е. проводится в соответствии с утвержденным графиком в утвержденной аудитории. Это ответственность кафедр и факультетов.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Билеты созда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ются автоматически для магистрантов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правила проведения экзамена;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Оценочная политика;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график проведения;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платформа для проведения экзаменов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     Оглашает регламент экзамена: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порядок сдачи экзаменов,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отклика;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ручкой;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Преподаватель: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объявляет фамилию, имя и отчество экзаменуемого;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 комиссия записывает вопросы, озвученные магистрантом, для последующего опроса;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7. дает время для подготовки ответа: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* члены комиссии и преподаватель контролируют процесс подготовки магистранта;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при необходимости делать замечания или останавливать ответ магистранта (грубое нарушение правил поведения на экзамене с составлением акта нарушения в случае наличия);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магистрантам разрешается использовать проект для составления конспекта ответа;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8. магистранта спрашивают по вопросам билетов;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9. пос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>ле завершения ответа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экзам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енатор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дает разрешение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магистранту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выйт</w:t>
      </w:r>
      <w:r w:rsidR="003012CF">
        <w:rPr>
          <w:rFonts w:ascii="Times New Roman" w:hAnsi="Times New Roman" w:cs="Times New Roman"/>
          <w:sz w:val="28"/>
          <w:szCs w:val="28"/>
          <w:lang w:val="kk-KZ"/>
        </w:rPr>
        <w:t>и из аудитории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Магистранты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ВНИМАНИЕ. МАГИСТРАНТ НЕ ВПРАВЕ ОТКРЫВАТЬ БИЛЕТ ДО ЛИЧНОГО ВЫЗОВА КОМИССИИ ДЛЯ СДАЧИ ЭКЗАМЕНА. ТОЛЬКО ПО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РАЗРЕШЕНИЮ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КОМИССИИ МАГИСТРАНТ ОТКРЫВАЕТ СВОЙ БИЛЕТ.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При начале экзамена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1.Э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кзамен проводится по расписанию.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М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агистранты и преподаватель должны заранее знать дату и время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3.Р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азместить в системе Univer итоговый экзаменационный документ по дисциплине.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До начала экзамена магистрантам праводится  предварительная консультация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редседатель экзаменационной комиссии разъясняет требования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6.Б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аллы, набранные магистрантами в течение 48 часов,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выставляются в аттестационной в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едомости.</w:t>
      </w:r>
    </w:p>
    <w:p w:rsid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Pr="00907C81" w:rsidRDefault="00031433" w:rsidP="00031433">
      <w:pPr>
        <w:pStyle w:val="1"/>
        <w:ind w:firstLine="709"/>
        <w:jc w:val="both"/>
      </w:pPr>
      <w:r w:rsidRPr="00907C81">
        <w:t>Политика</w:t>
      </w:r>
      <w:r>
        <w:rPr>
          <w:lang w:val="kk-KZ"/>
        </w:rPr>
        <w:t xml:space="preserve"> </w:t>
      </w:r>
      <w:r w:rsidRPr="00907C81">
        <w:t>оценивания: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proofErr w:type="spellStart"/>
      <w:r w:rsidRPr="00907C81">
        <w:rPr>
          <w:b/>
          <w:sz w:val="28"/>
          <w:szCs w:val="28"/>
        </w:rPr>
        <w:t>Критериальное</w:t>
      </w:r>
      <w:proofErr w:type="spellEnd"/>
      <w:r w:rsidRPr="00907C81">
        <w:rPr>
          <w:b/>
          <w:sz w:val="28"/>
          <w:szCs w:val="28"/>
        </w:rPr>
        <w:t xml:space="preserve"> оценивание:</w:t>
      </w:r>
      <w:r w:rsidRPr="00907C81">
        <w:rPr>
          <w:sz w:val="28"/>
          <w:szCs w:val="28"/>
        </w:rPr>
        <w:t xml:space="preserve"> оценка результатов обучения в соответствии с дескрипторами, проверка </w:t>
      </w:r>
      <w:proofErr w:type="spellStart"/>
      <w:r w:rsidRPr="00907C81">
        <w:rPr>
          <w:sz w:val="28"/>
          <w:szCs w:val="28"/>
        </w:rPr>
        <w:t>сформированности</w:t>
      </w:r>
      <w:proofErr w:type="spellEnd"/>
      <w:r w:rsidRPr="00907C81">
        <w:rPr>
          <w:sz w:val="28"/>
          <w:szCs w:val="28"/>
        </w:rPr>
        <w:t xml:space="preserve"> компетенций (результатов обучения) на промежуточном контроле и экзаменах. 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r w:rsidRPr="00907C81">
        <w:rPr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:rsidR="00031433" w:rsidRDefault="00031433" w:rsidP="00031433">
      <w:pPr>
        <w:pStyle w:val="a6"/>
        <w:spacing w:before="6"/>
        <w:rPr>
          <w:lang w:val="kk-KZ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7"/>
        <w:gridCol w:w="6851"/>
      </w:tblGrid>
      <w:tr w:rsidR="00031433" w:rsidTr="00F32792">
        <w:trPr>
          <w:trHeight w:val="275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56" w:lineRule="exact"/>
              <w:ind w:left="114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Оценка</w:t>
            </w:r>
            <w:proofErr w:type="spellEnd"/>
          </w:p>
        </w:tc>
        <w:tc>
          <w:tcPr>
            <w:tcW w:w="6851" w:type="dxa"/>
          </w:tcPr>
          <w:p w:rsidR="00031433" w:rsidRDefault="00031433" w:rsidP="00F32792">
            <w:pPr>
              <w:pStyle w:val="TableParagraph"/>
              <w:spacing w:line="256" w:lineRule="exact"/>
              <w:ind w:left="3188" w:right="26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</w:tr>
      <w:tr w:rsidR="00031433" w:rsidTr="00F32792">
        <w:trPr>
          <w:trHeight w:val="1380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810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1.Даны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полные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все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2.Полностью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решено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грамотно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соблюдением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логической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последовательности;</w:t>
            </w:r>
            <w:r w:rsidR="003A3FA6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4.Продемонстрированы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творческие</w:t>
            </w:r>
          </w:p>
          <w:p w:rsidR="00031433" w:rsidRPr="00907C81" w:rsidRDefault="00031433" w:rsidP="00F3279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способности.</w:t>
            </w:r>
          </w:p>
        </w:tc>
      </w:tr>
      <w:tr w:rsidR="00031433" w:rsidTr="00F32792">
        <w:trPr>
          <w:trHeight w:val="1382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3" w:lineRule="exact"/>
              <w:ind w:left="839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 Даны правильные, но неполные ответы на все 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несущественные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погрешности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или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выполнено</w:t>
            </w:r>
            <w:proofErr w:type="gramStart"/>
            <w:r w:rsidRPr="00907C81">
              <w:rPr>
                <w:sz w:val="24"/>
                <w:lang w:val="ru-RU"/>
              </w:rPr>
              <w:t>,о</w:t>
            </w:r>
            <w:proofErr w:type="gramEnd"/>
            <w:r w:rsidRPr="00907C81">
              <w:rPr>
                <w:sz w:val="24"/>
                <w:lang w:val="ru-RU"/>
              </w:rPr>
              <w:t>днако</w:t>
            </w:r>
            <w:proofErr w:type="spellEnd"/>
          </w:p>
          <w:p w:rsidR="00031433" w:rsidRPr="003012CF" w:rsidRDefault="003012CF" w:rsidP="00F32792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Д</w:t>
            </w:r>
            <w:r w:rsidR="00031433" w:rsidRPr="003012CF">
              <w:rPr>
                <w:sz w:val="24"/>
                <w:lang w:val="ru-RU"/>
              </w:rPr>
              <w:t>опущен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031433" w:rsidRPr="003012CF">
              <w:rPr>
                <w:sz w:val="24"/>
                <w:lang w:val="ru-RU"/>
              </w:rPr>
              <w:t>анезначительная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ошибка;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3.Материал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последовательности.</w:t>
            </w:r>
          </w:p>
        </w:tc>
      </w:tr>
      <w:tr w:rsidR="00031433" w:rsidTr="00F32792">
        <w:trPr>
          <w:trHeight w:val="827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принципе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но</w:t>
            </w:r>
          </w:p>
          <w:p w:rsidR="00031433" w:rsidRPr="00907C81" w:rsidRDefault="00031433" w:rsidP="00F32792">
            <w:pPr>
              <w:pStyle w:val="TableParagraph"/>
              <w:spacing w:line="270" w:lineRule="atLeast"/>
              <w:ind w:right="97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неполные,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формулировках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погрешности;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2.Практическое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выполнено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неполностью</w:t>
            </w:r>
            <w:proofErr w:type="spellEnd"/>
            <w:r w:rsidRPr="00907C81">
              <w:rPr>
                <w:sz w:val="24"/>
                <w:lang w:val="ru-RU"/>
              </w:rPr>
              <w:t>;</w:t>
            </w:r>
          </w:p>
        </w:tc>
      </w:tr>
      <w:tr w:rsidR="00031433" w:rsidTr="00F32792">
        <w:trPr>
          <w:trHeight w:val="553"/>
        </w:trPr>
        <w:tc>
          <w:tcPr>
            <w:tcW w:w="2497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851" w:type="dxa"/>
          </w:tcPr>
          <w:p w:rsidR="00031433" w:rsidRPr="003012CF" w:rsidRDefault="00031433" w:rsidP="00F3279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3012CF">
              <w:rPr>
                <w:sz w:val="24"/>
                <w:lang w:val="ru-RU"/>
              </w:rPr>
              <w:t>грамотно</w:t>
            </w:r>
            <w:proofErr w:type="gramStart"/>
            <w:r w:rsidRPr="003012CF">
              <w:rPr>
                <w:sz w:val="24"/>
                <w:lang w:val="ru-RU"/>
              </w:rPr>
              <w:t>,о</w:t>
            </w:r>
            <w:proofErr w:type="gramEnd"/>
            <w:r w:rsidRPr="003012CF">
              <w:rPr>
                <w:sz w:val="24"/>
                <w:lang w:val="ru-RU"/>
              </w:rPr>
              <w:t>днако</w:t>
            </w:r>
            <w:proofErr w:type="spellEnd"/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логическая</w:t>
            </w:r>
          </w:p>
          <w:p w:rsidR="00031433" w:rsidRDefault="00031433" w:rsidP="00F3279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последовательность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031433" w:rsidTr="00F32792">
        <w:trPr>
          <w:trHeight w:val="1104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3012CF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65" w:lineRule="exact"/>
              <w:ind w:hanging="260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содержат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грубые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ошибки;</w:t>
            </w:r>
          </w:p>
          <w:p w:rsidR="00031433" w:rsidRPr="00907C81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0" w:lineRule="atLeast"/>
              <w:ind w:left="107" w:right="99" w:firstLine="0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Практическое задание не выполнено; 3. В изложении ответа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грамматические,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терминологические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ошибки,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логическая последовательность.</w:t>
            </w:r>
          </w:p>
        </w:tc>
      </w:tr>
    </w:tbl>
    <w:p w:rsidR="00031433" w:rsidRPr="0019148F" w:rsidRDefault="00031433" w:rsidP="00031433">
      <w:pPr>
        <w:pStyle w:val="a6"/>
        <w:spacing w:before="6"/>
        <w:rPr>
          <w:lang w:val="kk-KZ"/>
        </w:rPr>
      </w:pPr>
      <w:bookmarkStart w:id="0" w:name="_GoBack"/>
      <w:bookmarkEnd w:id="0"/>
    </w:p>
    <w:tbl>
      <w:tblPr>
        <w:tblW w:w="9016" w:type="dxa"/>
        <w:tblInd w:w="124" w:type="dxa"/>
        <w:tblLook w:val="01E0"/>
      </w:tblPr>
      <w:tblGrid>
        <w:gridCol w:w="2497"/>
        <w:gridCol w:w="1765"/>
        <w:gridCol w:w="1908"/>
        <w:gridCol w:w="2846"/>
      </w:tblGrid>
      <w:tr w:rsidR="00031433" w:rsidTr="00F32792">
        <w:trPr>
          <w:trHeight w:val="9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буквенной</w:t>
            </w:r>
            <w:proofErr w:type="gramEnd"/>
          </w:p>
          <w:p w:rsidR="00031433" w:rsidRDefault="00031433" w:rsidP="00F3279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</w:t>
            </w:r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16" w:righ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>%-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показатель)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2454"/>
              </w:tabs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031433" w:rsidRDefault="003012CF" w:rsidP="00F32792">
            <w:pPr>
              <w:pStyle w:val="TableParagraph"/>
              <w:spacing w:line="322" w:lineRule="exact"/>
              <w:ind w:left="111" w:right="321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</w:t>
            </w:r>
            <w:r w:rsidR="00031433">
              <w:rPr>
                <w:w w:val="90"/>
                <w:sz w:val="28"/>
                <w:szCs w:val="28"/>
              </w:rPr>
              <w:t>радиционной</w:t>
            </w:r>
            <w:r>
              <w:rPr>
                <w:w w:val="90"/>
                <w:sz w:val="28"/>
                <w:szCs w:val="28"/>
                <w:lang w:val="kk-KZ"/>
              </w:rPr>
              <w:t xml:space="preserve"> </w:t>
            </w:r>
            <w:r w:rsidR="00031433">
              <w:rPr>
                <w:sz w:val="28"/>
                <w:szCs w:val="28"/>
              </w:rPr>
              <w:t>системе</w:t>
            </w:r>
          </w:p>
        </w:tc>
      </w:tr>
      <w:tr w:rsidR="00031433" w:rsidTr="00F32792">
        <w:trPr>
          <w:trHeight w:val="32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94-90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before="6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031433" w:rsidTr="00F32792">
        <w:trPr>
          <w:trHeight w:val="31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before="8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031433" w:rsidTr="00F32792">
        <w:trPr>
          <w:trHeight w:val="3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FX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25-49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</w:tbl>
    <w:p w:rsidR="00031433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:rsidR="00031433" w:rsidRPr="00907C81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1A85" w:rsidRPr="00261A85" w:rsidRDefault="00261A85" w:rsidP="00261A85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Тема </w:t>
      </w:r>
      <w:r w:rsidRPr="00261A85">
        <w:rPr>
          <w:rFonts w:ascii="Times New Roman" w:hAnsi="Times New Roman"/>
          <w:sz w:val="28"/>
          <w:szCs w:val="28"/>
          <w:lang w:val="kk-KZ"/>
        </w:rPr>
        <w:t>1. Банковская система и ее элементы. Понятие банковской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деятельности и ее содержание. Современная банковская система Республики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Казахстан. Организационные вопросы банковского сектора экономики Республики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Казахстан в условиях кризиса 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2. Специфика отношений в сфере банковской деятельности.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Сущность и метод банковского права, банковские правоотношения. Источники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банковского права 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3. Правовой статус банка РК. Отношения банка РК с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государственными органами. Функции Банка РК. Управление банком РК.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4. Понятие и виды кредитных организаций. Порядок создания и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регистрации кредитных организаций. Реорганизация кредитных организаций.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Ликвидация кредитных организаций. Особенности банкротства кредитной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организации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5. Общие принципы обеспечения финансовой надежности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кредитных организаций. Нормативы банковской деятельности. Депонирование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обязательных резервов в банке РК. Создание резервов на размещаемые денежные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средства. Система страхования вкладов.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6. Меры внутреннего контроля в деятельности кредитных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организаций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7. Общие условия банковского надзора в банковской системе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Республики Казахстан. Меры банковского надзора. Меры надзорного воздействия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Банка Республики Казахстан. Отзыв лицензии у кредитной организации. Иные виды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контроля за банковской деятельностью.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8. Кредитные организации как агенты валютного контроля.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Кредитные организации как агенты налогового контроля. Кредитные организации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как участники системы исполнения судебных решений. Обеспечение банковской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тайны кредитными организациями. Кредитные организации как члены системы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кредитной истории.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Тема 9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Правовое регулирование банковского контроля как Институт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общего раздела банковского права: понятие, значение, нормативно-правовая база.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Понятие государственного финансового контроля, модели, виды, принципы 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стандарты государственного финансового контроля.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10. Агентство Республики Казахстан по регулированию и надзору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финансовых организаций с финансовым рынком. Лицензирование деятельности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банков и открытие банков переданы в компетенцию агентства.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Тема</w:t>
      </w:r>
      <w:r w:rsidRPr="00261A85">
        <w:rPr>
          <w:rFonts w:ascii="Times New Roman" w:hAnsi="Times New Roman"/>
          <w:sz w:val="28"/>
          <w:szCs w:val="28"/>
          <w:lang w:val="kk-KZ"/>
        </w:rPr>
        <w:t>11. Юридическое лицо, являющееся коммерческой организацией,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вправе осуществлять банковскую деятельность. Официальный статус банка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устанавливается государственной регистрацией юридического лица в качестве банкав органах юстиции и наличием лицензии уполномоченного органа по регулированиюи надзору финансовых организаций на финансовом рынке на проведение банковских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операций. Создание банка и участие в его уставном капитале обязанности банка 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правами его акционеров. Осуществление банковских операций.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12. На рынке капитала банки выполняют загородную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деятельность, то есть, привлекая временно свободные денежные средства одних лиц,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передают их другим лицам, которые в этом нуждаются. Закон о банке и банковской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деятельности предусматривает рассмотрение договора кредитования как договора,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обусловленного волеизъявлением сторон волеизъявления. Банковские операции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подразделяются на активные и пассивные. В пассивных операциях банк выступает в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качестве заемщика, в активных операциях банк выступает в качестве заемщика.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13. Правовые основы банковского кредитования: сущность,</w:t>
      </w:r>
    </w:p>
    <w:p w:rsid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принципы, особенности. Формирование и развитие рыночной экономики напрямую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связано с кредитными отношениями. Как и любые другие отношения, кредитные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отношения должны регулироваться в государстве через право. Предоставление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кредита во все времена на определенных условиях и анализ источников ссудного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капитала служат основой для определения сущности кредита как отдельной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экономической категории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Тема 14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Банковские условия: понятие, виды, содержание. Условия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заключения банковских договоров права и обязанности сторон. Понятие 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содержание договора банковского вклада по Гражданскому кодексу (ст. 756 особенная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часть ГК). Виды вкладов их понятие и особенности (ст. 757,765,758,762 ГК) порядок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открытия и закрытия счетов в банках клиентами банка. Понятие и виды банковского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счета. Правовое регулирование института банковского счета осуществляется 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основе нормативно-правовых актов, различающихся по правовому значению.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Банковский счет является договором между банком и клиентом.</w:t>
      </w:r>
    </w:p>
    <w:p w:rsid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Тема</w:t>
      </w:r>
      <w:r w:rsidRPr="00261A85">
        <w:rPr>
          <w:rFonts w:ascii="Times New Roman" w:hAnsi="Times New Roman"/>
          <w:sz w:val="28"/>
          <w:szCs w:val="28"/>
          <w:lang w:val="kk-KZ"/>
        </w:rPr>
        <w:t xml:space="preserve"> 15. Принципы и цели исламского банкинга. Правовое</w:t>
      </w:r>
    </w:p>
    <w:p w:rsidR="00261A85" w:rsidRPr="00261A85" w:rsidRDefault="00261A85" w:rsidP="00261A8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A85">
        <w:rPr>
          <w:rFonts w:ascii="Times New Roman" w:hAnsi="Times New Roman"/>
          <w:sz w:val="28"/>
          <w:szCs w:val="28"/>
          <w:lang w:val="kk-KZ"/>
        </w:rPr>
        <w:t>положение исламского банкинга в Республике Казахстан. Определение правового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A85">
        <w:rPr>
          <w:rFonts w:ascii="Times New Roman" w:hAnsi="Times New Roman"/>
          <w:sz w:val="28"/>
          <w:szCs w:val="28"/>
          <w:lang w:val="kk-KZ"/>
        </w:rPr>
        <w:t>статуса исламского банкинга.</w:t>
      </w:r>
    </w:p>
    <w:p w:rsidR="00F74E87" w:rsidRPr="00E02FAC" w:rsidRDefault="00F74E87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 xml:space="preserve">При подготовке к экзамену студенту рекомендуется изучить </w:t>
      </w:r>
      <w:proofErr w:type="gramStart"/>
      <w:r w:rsidRPr="002741C3">
        <w:rPr>
          <w:rFonts w:ascii="Times New Roman" w:hAnsi="Times New Roman"/>
          <w:b/>
          <w:sz w:val="28"/>
          <w:szCs w:val="28"/>
        </w:rPr>
        <w:t>следующие</w:t>
      </w:r>
      <w:proofErr w:type="gramEnd"/>
      <w:r w:rsidRPr="002741C3">
        <w:rPr>
          <w:rFonts w:ascii="Times New Roman" w:hAnsi="Times New Roman"/>
          <w:b/>
          <w:sz w:val="28"/>
          <w:szCs w:val="28"/>
        </w:rPr>
        <w:t xml:space="preserve"> НПА и литературу: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Конституция Республики Казахстан. 30 августа 1995 года, с изменениями и дополнениями, </w:t>
      </w:r>
      <w:proofErr w:type="spellStart"/>
      <w:r w:rsidRPr="002741C3">
        <w:rPr>
          <w:rFonts w:ascii="Times New Roman" w:hAnsi="Times New Roman"/>
          <w:sz w:val="28"/>
          <w:szCs w:val="28"/>
        </w:rPr>
        <w:t>эл</w:t>
      </w:r>
      <w:proofErr w:type="gramStart"/>
      <w:r w:rsidRPr="002741C3">
        <w:rPr>
          <w:rFonts w:ascii="Times New Roman" w:hAnsi="Times New Roman"/>
          <w:sz w:val="28"/>
          <w:szCs w:val="28"/>
        </w:rPr>
        <w:t>.б</w:t>
      </w:r>
      <w:proofErr w:type="gramEnd"/>
      <w:r w:rsidRPr="002741C3">
        <w:rPr>
          <w:rFonts w:ascii="Times New Roman" w:hAnsi="Times New Roman"/>
          <w:sz w:val="28"/>
          <w:szCs w:val="28"/>
        </w:rPr>
        <w:t>аза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>3. Бюджетный кодекс Республики Казахстан Кодекс Республики Казахстан от 4 декабря 2008 года № 95-IV,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741C3">
        <w:rPr>
          <w:rFonts w:ascii="Times New Roman" w:hAnsi="Times New Roman"/>
          <w:sz w:val="28"/>
          <w:szCs w:val="28"/>
        </w:rPr>
        <w:t>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  <w:proofErr w:type="gramEnd"/>
    </w:p>
    <w:p w:rsidR="00272AFC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:rsidR="00907AA5" w:rsidRPr="0065229A" w:rsidRDefault="00907AA5" w:rsidP="0090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07AA5" w:rsidRPr="0065229A" w:rsidRDefault="00907AA5" w:rsidP="0090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5229A">
        <w:rPr>
          <w:rFonts w:ascii="Times New Roman" w:hAnsi="Times New Roman"/>
          <w:sz w:val="28"/>
          <w:szCs w:val="28"/>
          <w:lang w:val="kk-KZ"/>
        </w:rPr>
        <w:t>1.Налоговое право Республики Казахстан (общая часть): учеб. пособие / Алибеков С.Т., Бердибаева А.К. – Алматы: Қазақ университеті, – 2018. – 2-е изд., перераб. и доп. – 152 с.</w:t>
      </w:r>
    </w:p>
    <w:p w:rsidR="00907AA5" w:rsidRPr="0065229A" w:rsidRDefault="00907AA5" w:rsidP="0090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5229A">
        <w:rPr>
          <w:rFonts w:ascii="Times New Roman" w:hAnsi="Times New Roman"/>
          <w:sz w:val="28"/>
          <w:szCs w:val="28"/>
          <w:lang w:val="kk-KZ"/>
        </w:rPr>
        <w:t>2. Худяков А.И. Налоговое право Республики Казахстан. Общая часть: Учебник. – Алматы: ТОО «Издательство НОРМА-К», 2003, - 512 с.</w:t>
      </w:r>
    </w:p>
    <w:p w:rsidR="00907AA5" w:rsidRPr="0065229A" w:rsidRDefault="00907AA5" w:rsidP="0090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5229A">
        <w:rPr>
          <w:rFonts w:ascii="Times New Roman" w:hAnsi="Times New Roman"/>
          <w:sz w:val="28"/>
          <w:szCs w:val="28"/>
          <w:lang w:val="kk-KZ"/>
        </w:rPr>
        <w:t>3. Налоговое право. Грачева Е.Ю.- Издательство «Проспект»- 2020.-304 с.</w:t>
      </w:r>
    </w:p>
    <w:p w:rsidR="00907AA5" w:rsidRPr="0065229A" w:rsidRDefault="00907AA5" w:rsidP="0090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5229A">
        <w:rPr>
          <w:rFonts w:ascii="Times New Roman" w:hAnsi="Times New Roman"/>
          <w:sz w:val="28"/>
          <w:szCs w:val="28"/>
          <w:lang w:val="kk-KZ"/>
        </w:rPr>
        <w:t>4. Черняков А.А. Налоговое право Республики Казахстан: Курс лекций. – Алматы, НИЦ КОУ, 2008.</w:t>
      </w:r>
    </w:p>
    <w:p w:rsidR="00907AA5" w:rsidRPr="0065229A" w:rsidRDefault="00907AA5" w:rsidP="0090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5229A">
        <w:rPr>
          <w:rFonts w:ascii="Times New Roman" w:hAnsi="Times New Roman"/>
          <w:sz w:val="28"/>
          <w:szCs w:val="28"/>
          <w:lang w:val="kk-KZ"/>
        </w:rPr>
        <w:t>5. Порохов Е.В. Налоговое право. Учебник. - Алматы, 2023. 1148 с</w:t>
      </w:r>
    </w:p>
    <w:p w:rsidR="00907AA5" w:rsidRPr="0065229A" w:rsidRDefault="00907AA5" w:rsidP="00907A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9A">
        <w:rPr>
          <w:rFonts w:ascii="Times New Roman" w:hAnsi="Times New Roman"/>
          <w:sz w:val="28"/>
          <w:szCs w:val="28"/>
          <w:lang w:val="kk-KZ"/>
        </w:rPr>
        <w:t>6. Налоговое право: учебник для бакалавриата / А. Н. Козырин; Нац. исслед. ун-т «Высшая школа экономики». - М.: Изд. дом Высшей школы экономики, 2021. – 487</w:t>
      </w:r>
    </w:p>
    <w:p w:rsidR="00907AA5" w:rsidRPr="00907AA5" w:rsidRDefault="00907AA5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907AA5" w:rsidRDefault="00907AA5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ФИНАНСОВОЕ ПРАВО. Учебник и практикум для вузов</w:t>
      </w:r>
      <w:proofErr w:type="gramStart"/>
      <w:r w:rsidRPr="002741C3">
        <w:rPr>
          <w:rFonts w:ascii="Times New Roman" w:hAnsi="Times New Roman"/>
          <w:sz w:val="28"/>
          <w:szCs w:val="28"/>
        </w:rPr>
        <w:t xml:space="preserve">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Ручкиной Г.Ф.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Актуальные проблемы финансового права: Монография / Грачева Е.Ю.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М.:Юр</w:t>
      </w:r>
      <w:proofErr w:type="gramStart"/>
      <w:r w:rsidRPr="002741C3">
        <w:rPr>
          <w:rFonts w:ascii="Times New Roman" w:hAnsi="Times New Roman"/>
          <w:sz w:val="28"/>
          <w:szCs w:val="28"/>
        </w:rPr>
        <w:t>.Н</w:t>
      </w:r>
      <w:proofErr w:type="gramEnd"/>
      <w:r w:rsidRPr="002741C3">
        <w:rPr>
          <w:rFonts w:ascii="Times New Roman" w:hAnsi="Times New Roman"/>
          <w:sz w:val="28"/>
          <w:szCs w:val="28"/>
        </w:rPr>
        <w:t>орма</w:t>
      </w:r>
      <w:proofErr w:type="spellEnd"/>
      <w:r w:rsidRPr="002741C3">
        <w:rPr>
          <w:rFonts w:ascii="Times New Roman" w:hAnsi="Times New Roman"/>
          <w:sz w:val="28"/>
          <w:szCs w:val="28"/>
        </w:rPr>
        <w:t>, НИЦ ИНФРА-М, 2019. - 208 с. - Режим доступа: http://znanium.com/catalog/product/996136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 И.,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О. М., Ольховская Н. П. ; Под общ</w:t>
      </w:r>
      <w:proofErr w:type="gramStart"/>
      <w:r w:rsidRPr="002741C3">
        <w:rPr>
          <w:rFonts w:ascii="Times New Roman" w:hAnsi="Times New Roman"/>
          <w:sz w:val="28"/>
          <w:szCs w:val="28"/>
        </w:rPr>
        <w:t>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41C3">
        <w:rPr>
          <w:rFonts w:ascii="Times New Roman" w:hAnsi="Times New Roman"/>
          <w:sz w:val="28"/>
          <w:szCs w:val="28"/>
        </w:rPr>
        <w:t>р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А.И. - ФИНАНСОВОЕ ПРАВО РОССИЙСКОЙ ФЕДЕРАЦИИ. Учебник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741C3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Кудряшов В. В. - МЕЖДУНАРОДНОЕ ФИНАНСОВОЕ ПРАВО. СУВЕРЕННЫЕ ФИНАНСОВЫЕ ИНСТИТУТЫ 2-е изд., пер. и доп. Учебное пособие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магистратуры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 xml:space="preserve">5. ФИНАНСОВОЕ ПРАВО. ПРАКТИКУМ 2-е изд., пер. и доп. Учебное пособие для академического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proofErr w:type="gramStart"/>
      <w:r w:rsidRPr="002741C3">
        <w:rPr>
          <w:rFonts w:ascii="Times New Roman" w:hAnsi="Times New Roman"/>
          <w:sz w:val="28"/>
          <w:szCs w:val="28"/>
        </w:rPr>
        <w:t xml:space="preserve"> 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Ашмариной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Е.М., Тереховой Е.В.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D26E0" w:rsidRPr="00272AFC" w:rsidRDefault="005D26E0" w:rsidP="00272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26E0" w:rsidRPr="00272AFC" w:rsidSect="0099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954"/>
    <w:multiLevelType w:val="hybridMultilevel"/>
    <w:tmpl w:val="CF7A1C70"/>
    <w:lvl w:ilvl="0" w:tplc="47AAC03C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6E0"/>
    <w:rsid w:val="00031433"/>
    <w:rsid w:val="000768DE"/>
    <w:rsid w:val="00261A85"/>
    <w:rsid w:val="00272AFC"/>
    <w:rsid w:val="002C7C3C"/>
    <w:rsid w:val="002F4CDF"/>
    <w:rsid w:val="003012CF"/>
    <w:rsid w:val="00372B89"/>
    <w:rsid w:val="00395ACB"/>
    <w:rsid w:val="003A3FA6"/>
    <w:rsid w:val="00453AAF"/>
    <w:rsid w:val="004F35F8"/>
    <w:rsid w:val="005D26E0"/>
    <w:rsid w:val="0065229A"/>
    <w:rsid w:val="00666F52"/>
    <w:rsid w:val="008E54AB"/>
    <w:rsid w:val="00907AA5"/>
    <w:rsid w:val="00965793"/>
    <w:rsid w:val="00995A19"/>
    <w:rsid w:val="00A96194"/>
    <w:rsid w:val="00C07ADB"/>
    <w:rsid w:val="00C46A58"/>
    <w:rsid w:val="00E02FAC"/>
    <w:rsid w:val="00F7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19"/>
  </w:style>
  <w:style w:type="paragraph" w:styleId="1">
    <w:name w:val="heading 1"/>
    <w:basedOn w:val="a"/>
    <w:link w:val="10"/>
    <w:uiPriority w:val="9"/>
    <w:qFormat/>
    <w:rsid w:val="00031433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4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031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3143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031433"/>
  </w:style>
  <w:style w:type="paragraph" w:styleId="a6">
    <w:name w:val="Body Text"/>
    <w:basedOn w:val="a"/>
    <w:link w:val="a7"/>
    <w:uiPriority w:val="99"/>
    <w:unhideWhenUsed/>
    <w:rsid w:val="000314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3143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31433"/>
  </w:style>
  <w:style w:type="character" w:customStyle="1" w:styleId="highlight">
    <w:name w:val="highlight"/>
    <w:basedOn w:val="a0"/>
    <w:rsid w:val="00031433"/>
  </w:style>
  <w:style w:type="paragraph" w:customStyle="1" w:styleId="TableParagraph">
    <w:name w:val="Table Paragraph"/>
    <w:basedOn w:val="a"/>
    <w:uiPriority w:val="1"/>
    <w:qFormat/>
    <w:rsid w:val="00031433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1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4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00FB-F8DA-40BE-A828-ADF461DE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Guldana</cp:lastModifiedBy>
  <cp:revision>15</cp:revision>
  <dcterms:created xsi:type="dcterms:W3CDTF">2022-02-20T15:12:00Z</dcterms:created>
  <dcterms:modified xsi:type="dcterms:W3CDTF">2023-10-24T14:35:00Z</dcterms:modified>
</cp:coreProperties>
</file>